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BA" w:rsidRDefault="00AD47BA" w:rsidP="00AD47BA">
      <w:pPr>
        <w:rPr>
          <w:rFonts w:ascii="黑体" w:eastAsia="黑体" w:hint="eastAsia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第二部分</w:t>
      </w:r>
    </w:p>
    <w:p w:rsidR="00AD47BA" w:rsidRPr="001C1A65" w:rsidRDefault="00AD47BA" w:rsidP="00AD47BA">
      <w:pPr>
        <w:ind w:leftChars="372" w:left="1041" w:hangingChars="50" w:hanging="260"/>
        <w:jc w:val="center"/>
        <w:rPr>
          <w:rFonts w:ascii="黑体" w:eastAsia="黑体" w:hint="eastAsia"/>
          <w:sz w:val="52"/>
          <w:szCs w:val="52"/>
        </w:rPr>
      </w:pPr>
      <w:bookmarkStart w:id="0" w:name="_GoBack"/>
      <w:r>
        <w:rPr>
          <w:rFonts w:ascii="黑体" w:eastAsia="黑体" w:hint="eastAsia"/>
          <w:sz w:val="52"/>
          <w:szCs w:val="52"/>
        </w:rPr>
        <w:t>2018年部门预算表</w:t>
      </w:r>
    </w:p>
    <w:bookmarkEnd w:id="0"/>
    <w:p w:rsidR="00AD47BA" w:rsidRDefault="00AD47BA" w:rsidP="00AD47BA">
      <w:pPr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表1. 201</w:t>
      </w:r>
      <w:bookmarkStart w:id="1" w:name="RANGE!A2:D28"/>
      <w:r>
        <w:rPr>
          <w:rFonts w:ascii="仿宋_GB2312" w:eastAsia="仿宋_GB2312" w:hint="eastAsia"/>
          <w:b/>
          <w:sz w:val="30"/>
          <w:szCs w:val="30"/>
        </w:rPr>
        <w:t>8年收支预算总表</w:t>
      </w:r>
      <w:bookmarkEnd w:id="1"/>
      <w:r>
        <w:rPr>
          <w:rFonts w:ascii="仿宋_GB2312" w:eastAsia="仿宋_GB2312" w:hint="eastAsia"/>
          <w:b/>
          <w:sz w:val="30"/>
          <w:szCs w:val="30"/>
        </w:rPr>
        <w:t>（功能分类科目）</w:t>
      </w:r>
    </w:p>
    <w:p w:rsidR="00AD47BA" w:rsidRDefault="00AD47BA" w:rsidP="00AD47BA">
      <w:pPr>
        <w:jc w:val="center"/>
        <w:rPr>
          <w:rFonts w:ascii="宋体" w:hAnsi="宋体" w:cs="宋体" w:hint="eastAsia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 xml:space="preserve">            </w:t>
      </w: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 w:val="36"/>
          <w:szCs w:val="36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36"/>
          <w:szCs w:val="36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单位：万元</w:t>
      </w:r>
    </w:p>
    <w:tbl>
      <w:tblPr>
        <w:tblW w:w="9000" w:type="dxa"/>
        <w:jc w:val="center"/>
        <w:tblLook w:val="0000" w:firstRow="0" w:lastRow="0" w:firstColumn="0" w:lastColumn="0" w:noHBand="0" w:noVBand="0"/>
      </w:tblPr>
      <w:tblGrid>
        <w:gridCol w:w="3600"/>
        <w:gridCol w:w="1424"/>
        <w:gridCol w:w="16"/>
        <w:gridCol w:w="2504"/>
        <w:gridCol w:w="16"/>
        <w:gridCol w:w="1424"/>
        <w:gridCol w:w="16"/>
      </w:tblGrid>
      <w:tr w:rsidR="00AD47BA" w:rsidTr="00616B1D">
        <w:trPr>
          <w:trHeight w:val="39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收     入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支     出</w:t>
            </w:r>
          </w:p>
        </w:tc>
      </w:tr>
      <w:tr w:rsidR="00AD47BA" w:rsidTr="00616B1D">
        <w:trPr>
          <w:trHeight w:val="54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      目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2018年预算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      目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2018年预算</w:t>
            </w:r>
          </w:p>
        </w:tc>
      </w:tr>
      <w:tr w:rsidR="00AD47BA" w:rsidTr="00616B1D">
        <w:trPr>
          <w:gridAfter w:val="1"/>
          <w:wAfter w:w="16" w:type="dxa"/>
          <w:trHeight w:val="25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一、财政拨款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A16682" w:rsidRDefault="00AD47BA" w:rsidP="00616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1668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支出功能分类科目名称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A16682" w:rsidRDefault="00AD47BA" w:rsidP="00616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1668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一般公共预算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682">
              <w:rPr>
                <w:rFonts w:ascii="宋体" w:hAnsi="宋体" w:cs="宋体" w:hint="eastAsia"/>
                <w:kern w:val="0"/>
                <w:sz w:val="18"/>
                <w:szCs w:val="18"/>
              </w:rPr>
              <w:t>一、一般公共服务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1164.48</w:t>
            </w:r>
          </w:p>
        </w:tc>
      </w:tr>
      <w:tr w:rsidR="00AD47BA" w:rsidTr="00616B1D">
        <w:trPr>
          <w:trHeight w:val="3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政府性基金预算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68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行政运行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896.88</w:t>
            </w: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国有资本经营预算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一般行政管理事务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  <w:r w:rsidRPr="00A1668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7.60　</w:t>
            </w: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二、财政专户管理资金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二、社会保障和就业支出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165.02</w:t>
            </w: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三、事业收入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财政对基本养老保险的补助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165.02</w:t>
            </w:r>
          </w:p>
        </w:tc>
      </w:tr>
      <w:tr w:rsidR="00AD47BA" w:rsidTr="00616B1D">
        <w:trPr>
          <w:trHeight w:val="3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四、事业单位经营收入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三、</w:t>
            </w:r>
            <w:r w:rsidRPr="00A16682">
              <w:rPr>
                <w:rFonts w:ascii="宋体" w:hAnsi="宋体" w:cs="宋体" w:hint="eastAsia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61.88</w:t>
            </w: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五、其他收入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ind w:firstLineChars="150" w:firstLine="27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682">
              <w:rPr>
                <w:rFonts w:ascii="宋体" w:hAnsi="宋体" w:cs="宋体" w:hint="eastAsia"/>
                <w:kern w:val="0"/>
                <w:sz w:val="18"/>
                <w:szCs w:val="18"/>
              </w:rPr>
              <w:t>医疗保障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61.88</w:t>
            </w: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A1668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行政单位医疗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61.88</w:t>
            </w: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68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四、住房保障支出 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99.01</w:t>
            </w: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68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住房改革支出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99.01</w:t>
            </w: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682">
              <w:rPr>
                <w:rFonts w:ascii="宋体" w:hAnsi="宋体" w:cs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99.01</w:t>
            </w:r>
          </w:p>
        </w:tc>
      </w:tr>
      <w:tr w:rsidR="00AD47BA" w:rsidTr="00616B1D">
        <w:trPr>
          <w:trHeight w:val="423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68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六、上级补助收入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68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A16682" w:rsidRDefault="00AD47BA" w:rsidP="00616B1D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七、附属单位上缴收入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八、用事业基金弥补收支差额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九、上年结转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结转下年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收入总计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支出总计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</w:tr>
    </w:tbl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表2. 2018年收支预算总表（经济分类科目）</w:t>
      </w:r>
    </w:p>
    <w:p w:rsidR="00AD47BA" w:rsidRDefault="00AD47BA" w:rsidP="00AD47BA">
      <w:pPr>
        <w:jc w:val="center"/>
        <w:rPr>
          <w:rFonts w:ascii="宋体" w:hAnsi="宋体" w:cs="宋体" w:hint="eastAsia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 xml:space="preserve">            </w:t>
      </w: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 w:val="36"/>
          <w:szCs w:val="36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36"/>
          <w:szCs w:val="36"/>
        </w:rPr>
        <w:t xml:space="preserve">                        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单位：万元</w:t>
      </w:r>
    </w:p>
    <w:tbl>
      <w:tblPr>
        <w:tblW w:w="9000" w:type="dxa"/>
        <w:tblInd w:w="-252" w:type="dxa"/>
        <w:tblLook w:val="0000" w:firstRow="0" w:lastRow="0" w:firstColumn="0" w:lastColumn="0" w:noHBand="0" w:noVBand="0"/>
      </w:tblPr>
      <w:tblGrid>
        <w:gridCol w:w="3600"/>
        <w:gridCol w:w="1440"/>
        <w:gridCol w:w="2520"/>
        <w:gridCol w:w="1440"/>
      </w:tblGrid>
      <w:tr w:rsidR="00AD47BA" w:rsidTr="00616B1D">
        <w:trPr>
          <w:trHeight w:val="39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收     入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支     出</w:t>
            </w:r>
          </w:p>
        </w:tc>
      </w:tr>
      <w:tr w:rsidR="00AD47BA" w:rsidTr="00616B1D"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      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2018年预算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      目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2018年预算</w:t>
            </w:r>
          </w:p>
        </w:tc>
      </w:tr>
      <w:tr w:rsidR="00AD47BA" w:rsidTr="00616B1D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r w:rsidRPr="00966395">
              <w:rPr>
                <w:rFonts w:ascii="宋体" w:hAnsi="宋体" w:cs="宋体" w:hint="eastAsia"/>
                <w:kern w:val="0"/>
                <w:szCs w:val="21"/>
              </w:rPr>
              <w:t>、财政拨款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C920F7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C920F7">
              <w:rPr>
                <w:rFonts w:ascii="宋体" w:hAnsi="宋体" w:cs="宋体" w:hint="eastAsia"/>
                <w:kern w:val="0"/>
                <w:sz w:val="2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工资福利支出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1052.49</w:t>
            </w:r>
          </w:p>
        </w:tc>
      </w:tr>
      <w:tr w:rsidR="00AD47BA" w:rsidTr="00616B1D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C920F7" w:rsidRDefault="00AD47BA" w:rsidP="00616B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在职人员工资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825.08</w:t>
            </w:r>
          </w:p>
        </w:tc>
      </w:tr>
      <w:tr w:rsidR="00AD47BA" w:rsidTr="00616B1D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C920F7" w:rsidRDefault="00AD47BA" w:rsidP="00616B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养老保险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165.02</w:t>
            </w:r>
          </w:p>
        </w:tc>
      </w:tr>
      <w:tr w:rsidR="00AD47BA" w:rsidTr="00616B1D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C920F7" w:rsidRDefault="00AD47BA" w:rsidP="00616B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医疗保险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61.88</w:t>
            </w: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一般公共预算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319.4</w:t>
            </w: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2A3C0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A3C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在职人员公用经费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37.2</w:t>
            </w: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2A3C0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A3C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小汽车燃修费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2A3C0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A3C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工会经费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16.50</w:t>
            </w:r>
          </w:p>
        </w:tc>
      </w:tr>
      <w:tr w:rsidR="00AD47BA" w:rsidTr="00616B1D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政府性基金预算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</w:t>
            </w:r>
            <w:r w:rsidRPr="00C920F7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99.01</w:t>
            </w:r>
          </w:p>
        </w:tc>
      </w:tr>
      <w:tr w:rsidR="00AD47BA" w:rsidTr="00616B1D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住房公积金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99.01</w:t>
            </w: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国有资本经营预算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离退休费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3.01</w:t>
            </w: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3B2493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2493">
              <w:rPr>
                <w:rFonts w:ascii="宋体" w:hAnsi="宋体" w:cs="宋体" w:hint="eastAsia"/>
                <w:kern w:val="0"/>
                <w:szCs w:val="21"/>
              </w:rPr>
              <w:t>二、财政专户管理资金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</w:t>
            </w:r>
            <w:r w:rsidRPr="00CD2719">
              <w:rPr>
                <w:rFonts w:ascii="宋体" w:hAnsi="宋体" w:cs="宋体" w:hint="eastAsia"/>
                <w:kern w:val="0"/>
                <w:szCs w:val="21"/>
              </w:rPr>
              <w:t>其他资本性支出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3B2493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2493">
              <w:rPr>
                <w:rFonts w:ascii="宋体" w:hAnsi="宋体" w:cs="宋体" w:hint="eastAsia"/>
                <w:kern w:val="0"/>
                <w:szCs w:val="21"/>
              </w:rPr>
              <w:t>三、事业收入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办公设备购置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</w:tr>
      <w:tr w:rsidR="00AD47BA" w:rsidTr="00616B1D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3B2493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2493">
              <w:rPr>
                <w:rFonts w:ascii="宋体" w:hAnsi="宋体" w:cs="宋体" w:hint="eastAsia"/>
                <w:kern w:val="0"/>
                <w:szCs w:val="21"/>
              </w:rPr>
              <w:t>四、事业单位经营收入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3B2493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2493">
              <w:rPr>
                <w:rFonts w:ascii="宋体" w:hAnsi="宋体" w:cs="宋体" w:hint="eastAsia"/>
                <w:kern w:val="0"/>
                <w:szCs w:val="21"/>
              </w:rPr>
              <w:t>五、其他收入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AD47BA" w:rsidTr="00616B1D">
        <w:trPr>
          <w:trHeight w:val="42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9F63F5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3F5"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C920F7" w:rsidRDefault="00AD47BA" w:rsidP="00616B1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20F7"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3B2493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2493">
              <w:rPr>
                <w:rFonts w:ascii="宋体" w:hAnsi="宋体" w:cs="宋体" w:hint="eastAsia"/>
                <w:kern w:val="0"/>
                <w:szCs w:val="21"/>
              </w:rPr>
              <w:t>六、上级补助收入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3B2493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2493">
              <w:rPr>
                <w:rFonts w:ascii="宋体" w:hAnsi="宋体" w:cs="宋体" w:hint="eastAsia"/>
                <w:kern w:val="0"/>
                <w:szCs w:val="21"/>
              </w:rPr>
              <w:t>七、附属单位上缴收入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3B2493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2493">
              <w:rPr>
                <w:rFonts w:ascii="宋体" w:hAnsi="宋体" w:cs="宋体" w:hint="eastAsia"/>
                <w:kern w:val="0"/>
                <w:szCs w:val="21"/>
              </w:rPr>
              <w:t>八、用事业基金弥补收支差额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C920F7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20F7">
              <w:rPr>
                <w:rFonts w:ascii="宋体" w:hAnsi="宋体" w:cs="宋体" w:hint="eastAsia"/>
                <w:kern w:val="0"/>
                <w:szCs w:val="21"/>
              </w:rPr>
              <w:t>结转下年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3B2493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2493">
              <w:rPr>
                <w:rFonts w:ascii="宋体" w:hAnsi="宋体" w:cs="宋体" w:hint="eastAsia"/>
                <w:kern w:val="0"/>
                <w:szCs w:val="21"/>
              </w:rPr>
              <w:t>九、上年结转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3B2493" w:rsidRDefault="00AD47BA" w:rsidP="00616B1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B2493">
              <w:rPr>
                <w:rFonts w:ascii="宋体" w:hAnsi="宋体" w:cs="宋体" w:hint="eastAsia"/>
                <w:kern w:val="0"/>
                <w:szCs w:val="21"/>
              </w:rPr>
              <w:t>收入总计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Pr="00C920F7" w:rsidRDefault="00AD47BA" w:rsidP="00616B1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20F7">
              <w:rPr>
                <w:rFonts w:ascii="宋体" w:hAnsi="宋体" w:cs="宋体" w:hint="eastAsia"/>
                <w:kern w:val="0"/>
                <w:szCs w:val="21"/>
              </w:rPr>
              <w:t>支出总计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</w:tr>
    </w:tbl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widowControl/>
        <w:jc w:val="left"/>
        <w:rPr>
          <w:rFonts w:ascii="黑体" w:eastAsia="黑体"/>
          <w:b/>
          <w:sz w:val="30"/>
          <w:szCs w:val="30"/>
        </w:rPr>
        <w:sectPr w:rsidR="00AD47BA" w:rsidSect="00F23810">
          <w:pgSz w:w="11906" w:h="16838"/>
          <w:pgMar w:top="1440" w:right="1797" w:bottom="1440" w:left="1797" w:header="851" w:footer="992" w:gutter="0"/>
          <w:pgNumType w:start="0"/>
          <w:cols w:space="720"/>
          <w:docGrid w:type="lines" w:linePitch="312"/>
        </w:sectPr>
      </w:pPr>
    </w:p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表3. 2018年收入预算表</w:t>
      </w:r>
    </w:p>
    <w:p w:rsidR="00AD47BA" w:rsidRDefault="00AD47BA" w:rsidP="00AD47BA">
      <w:pPr>
        <w:jc w:val="right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单位：万元</w:t>
      </w:r>
    </w:p>
    <w:tbl>
      <w:tblPr>
        <w:tblW w:w="1545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900"/>
        <w:gridCol w:w="900"/>
        <w:gridCol w:w="900"/>
        <w:gridCol w:w="900"/>
        <w:gridCol w:w="472"/>
        <w:gridCol w:w="462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10"/>
      </w:tblGrid>
      <w:tr w:rsidR="00AD47BA" w:rsidTr="00616B1D">
        <w:trPr>
          <w:trHeight w:val="36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82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上年结转</w:t>
            </w:r>
          </w:p>
        </w:tc>
      </w:tr>
      <w:tr w:rsidR="00AD47BA" w:rsidTr="00616B1D">
        <w:trPr>
          <w:trHeight w:val="477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0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trHeight w:val="282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经费拨款(补助)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预算内投资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罚没收入安排的拨款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国有资源（资产）有偿使用收入安排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纳入预算管理的其他收入安排的拨款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转列一般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公共预算收入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中央转移支付(一般公共预算)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行政性收费安排的拨款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专项收入</w:t>
            </w:r>
          </w:p>
          <w:p w:rsidR="00AD47BA" w:rsidRDefault="00AD47BA" w:rsidP="00616B1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trHeight w:val="78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409001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市人大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trHeight w:val="10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trHeight w:val="9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D47BA" w:rsidRDefault="00AD47BA" w:rsidP="00AD47BA">
      <w:pPr>
        <w:jc w:val="right"/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表4.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2018年支出预算表</w:t>
      </w: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p w:rsidR="00AD47BA" w:rsidRDefault="00AD47BA" w:rsidP="00AD47BA">
      <w:pPr>
        <w:jc w:val="right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单位：万元</w:t>
      </w:r>
    </w:p>
    <w:tbl>
      <w:tblPr>
        <w:tblW w:w="14160" w:type="dxa"/>
        <w:tblInd w:w="93" w:type="dxa"/>
        <w:tblLook w:val="0000" w:firstRow="0" w:lastRow="0" w:firstColumn="0" w:lastColumn="0" w:noHBand="0" w:noVBand="0"/>
      </w:tblPr>
      <w:tblGrid>
        <w:gridCol w:w="580"/>
        <w:gridCol w:w="580"/>
        <w:gridCol w:w="580"/>
        <w:gridCol w:w="969"/>
        <w:gridCol w:w="1986"/>
        <w:gridCol w:w="1980"/>
        <w:gridCol w:w="1620"/>
        <w:gridCol w:w="1440"/>
        <w:gridCol w:w="1260"/>
        <w:gridCol w:w="1260"/>
        <w:gridCol w:w="900"/>
        <w:gridCol w:w="1005"/>
      </w:tblGrid>
      <w:tr w:rsidR="00AD47BA" w:rsidTr="00616B1D">
        <w:trPr>
          <w:trHeight w:val="499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单位名称（科目）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 计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事业单位                           经营支出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对附属单位          补助支出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结转下年支出</w:t>
            </w:r>
          </w:p>
        </w:tc>
      </w:tr>
      <w:tr w:rsidR="00AD47BA" w:rsidTr="00616B1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409001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人大事务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1490.9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01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409001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11223.3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11223.3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D47BA" w:rsidTr="00616B1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02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409001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267.6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267.6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D47BA" w:rsidTr="00616B1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D47BA" w:rsidTr="00616B1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D47BA" w:rsidTr="00616B1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D47BA" w:rsidTr="00616B1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D47BA" w:rsidRDefault="00AD47BA" w:rsidP="00AD47BA">
      <w:pPr>
        <w:rPr>
          <w:rFonts w:ascii="仿宋_GB2312" w:eastAsia="仿宋_GB2312" w:hAnsi="宋体" w:cs="宋体" w:hint="eastAsia"/>
          <w:kern w:val="0"/>
          <w:szCs w:val="21"/>
        </w:rPr>
      </w:pP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br w:type="page"/>
      </w: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表5.</w:t>
      </w:r>
      <w:r>
        <w:rPr>
          <w:b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2018</w:t>
      </w:r>
      <w:r>
        <w:rPr>
          <w:rFonts w:ascii="仿宋_GB2312" w:eastAsia="仿宋_GB2312" w:hint="eastAsia"/>
          <w:b/>
          <w:sz w:val="30"/>
          <w:szCs w:val="30"/>
        </w:rPr>
        <w:t>财政拨款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收支预算表</w:t>
      </w: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p w:rsidR="00AD47BA" w:rsidRDefault="00AD47BA" w:rsidP="00AD47BA">
      <w:pPr>
        <w:jc w:val="right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单位：万元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489"/>
        <w:gridCol w:w="3484"/>
        <w:gridCol w:w="3493"/>
      </w:tblGrid>
      <w:tr w:rsidR="00AD47BA" w:rsidTr="00616B1D">
        <w:trPr>
          <w:trHeight w:val="724"/>
          <w:jc w:val="right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收      入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支       出</w:t>
            </w:r>
          </w:p>
        </w:tc>
      </w:tr>
      <w:tr w:rsidR="00AD47BA" w:rsidTr="00616B1D">
        <w:trPr>
          <w:trHeight w:val="567"/>
          <w:jc w:val="right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  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2018年预算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  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2018年预算</w:t>
            </w:r>
          </w:p>
        </w:tc>
      </w:tr>
      <w:tr w:rsidR="00AD47BA" w:rsidTr="00616B1D">
        <w:trPr>
          <w:trHeight w:val="567"/>
          <w:jc w:val="right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市级财政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在职人员工资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1052.49</w:t>
            </w:r>
          </w:p>
        </w:tc>
      </w:tr>
      <w:tr w:rsidR="00AD47BA" w:rsidTr="00616B1D">
        <w:trPr>
          <w:trHeight w:val="567"/>
          <w:jc w:val="right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319.4</w:t>
            </w:r>
          </w:p>
        </w:tc>
      </w:tr>
      <w:tr w:rsidR="00AD47BA" w:rsidTr="00616B1D">
        <w:trPr>
          <w:trHeight w:val="567"/>
          <w:jc w:val="right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99.01</w:t>
            </w:r>
          </w:p>
        </w:tc>
      </w:tr>
      <w:tr w:rsidR="00AD47BA" w:rsidTr="00616B1D">
        <w:trPr>
          <w:trHeight w:val="567"/>
          <w:jc w:val="right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其他资本性支出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</w:tr>
      <w:tr w:rsidR="00AD47BA" w:rsidTr="00616B1D">
        <w:trPr>
          <w:trHeight w:val="567"/>
          <w:jc w:val="right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567"/>
          <w:jc w:val="right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D47BA" w:rsidTr="00616B1D">
        <w:trPr>
          <w:trHeight w:val="567"/>
          <w:jc w:val="right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AD47BA" w:rsidRDefault="00AD47BA" w:rsidP="00AD47BA">
      <w:pPr>
        <w:rPr>
          <w:rFonts w:ascii="仿宋_GB2312" w:eastAsia="仿宋_GB2312" w:hAnsi="宋体" w:cs="宋体" w:hint="eastAsia"/>
          <w:kern w:val="0"/>
          <w:szCs w:val="21"/>
        </w:rPr>
      </w:pPr>
    </w:p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br w:type="page"/>
      </w:r>
    </w:p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表6.</w:t>
      </w:r>
      <w:r>
        <w:rPr>
          <w:b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2018年</w:t>
      </w:r>
      <w:r>
        <w:rPr>
          <w:rFonts w:ascii="仿宋_GB2312" w:eastAsia="仿宋_GB2312" w:hint="eastAsia"/>
          <w:b/>
          <w:sz w:val="30"/>
          <w:szCs w:val="30"/>
        </w:rPr>
        <w:t>一般公共预算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财政拨款支出预算表</w:t>
      </w:r>
    </w:p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黑体" w:eastAsia="黑体" w:hint="eastAsia"/>
          <w:b/>
          <w:sz w:val="30"/>
          <w:szCs w:val="30"/>
        </w:rPr>
        <w:t xml:space="preserve">                                                                                </w:t>
      </w:r>
      <w:r>
        <w:rPr>
          <w:rFonts w:ascii="仿宋_GB2312" w:eastAsia="仿宋_GB2312" w:hAnsi="宋体" w:cs="宋体" w:hint="eastAsia"/>
          <w:kern w:val="0"/>
          <w:szCs w:val="21"/>
        </w:rPr>
        <w:t>单位：万元</w:t>
      </w:r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291"/>
        <w:gridCol w:w="1291"/>
        <w:gridCol w:w="1276"/>
        <w:gridCol w:w="977"/>
        <w:gridCol w:w="157"/>
        <w:gridCol w:w="1134"/>
        <w:gridCol w:w="45"/>
        <w:gridCol w:w="1924"/>
        <w:gridCol w:w="7"/>
        <w:gridCol w:w="49"/>
      </w:tblGrid>
      <w:tr w:rsidR="00AD47BA" w:rsidTr="00616B1D">
        <w:trPr>
          <w:trHeight w:val="92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单位名称（科目）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223"/>
            </w:tblGrid>
            <w:tr w:rsidR="00AD47BA" w:rsidTr="00616B1D">
              <w:tc>
                <w:tcPr>
                  <w:tcW w:w="1223" w:type="dxa"/>
                </w:tcPr>
                <w:p w:rsidR="00AD47BA" w:rsidRDefault="00AD47BA" w:rsidP="00616B1D">
                  <w:pPr>
                    <w:widowControl/>
                    <w:rPr>
                      <w:rFonts w:ascii="宋体" w:hAnsi="宋体" w:cs="宋体"/>
                      <w:color w:val="000000"/>
                      <w:szCs w:val="20"/>
                    </w:rPr>
                  </w:pPr>
                </w:p>
              </w:tc>
            </w:tr>
          </w:tbl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7BA" w:rsidRPr="001C2016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gridAfter w:val="1"/>
          <w:wAfter w:w="49" w:type="dxa"/>
          <w:trHeight w:val="14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 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日常公用支出</w:t>
            </w:r>
          </w:p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gridAfter w:val="1"/>
          <w:wAfter w:w="49" w:type="dxa"/>
          <w:trHeight w:val="5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市人大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267.6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gridAfter w:val="2"/>
          <w:wAfter w:w="56" w:type="dxa"/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Pr="005C5D76" w:rsidRDefault="00AD47BA" w:rsidP="00616B1D">
            <w:pPr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</w:tr>
      <w:tr w:rsidR="00AD47BA" w:rsidTr="00616B1D">
        <w:trPr>
          <w:gridAfter w:val="2"/>
          <w:wAfter w:w="56" w:type="dxa"/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</w:tr>
      <w:tr w:rsidR="00AD47BA" w:rsidTr="00616B1D">
        <w:trPr>
          <w:gridAfter w:val="2"/>
          <w:wAfter w:w="56" w:type="dxa"/>
          <w:trHeight w:val="7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</w:tr>
    </w:tbl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表7.</w:t>
      </w:r>
      <w:r>
        <w:rPr>
          <w:b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2018年</w:t>
      </w:r>
      <w:r>
        <w:rPr>
          <w:rFonts w:ascii="仿宋_GB2312" w:eastAsia="仿宋_GB2312" w:hint="eastAsia"/>
          <w:b/>
          <w:sz w:val="30"/>
          <w:szCs w:val="30"/>
        </w:rPr>
        <w:t>政府性基金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支出预算表</w:t>
      </w:r>
    </w:p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jc w:val="right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黑体" w:eastAsia="黑体" w:hint="eastAsia"/>
          <w:b/>
          <w:sz w:val="30"/>
          <w:szCs w:val="30"/>
        </w:rPr>
        <w:t xml:space="preserve">                                                                                </w:t>
      </w:r>
      <w:r>
        <w:rPr>
          <w:rFonts w:ascii="仿宋_GB2312" w:eastAsia="仿宋_GB2312" w:hAnsi="宋体" w:cs="宋体" w:hint="eastAsia"/>
          <w:kern w:val="0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289"/>
        <w:gridCol w:w="1547"/>
        <w:gridCol w:w="1418"/>
        <w:gridCol w:w="1418"/>
        <w:gridCol w:w="1418"/>
      </w:tblGrid>
      <w:tr w:rsidR="00AD47BA" w:rsidTr="00616B1D">
        <w:trPr>
          <w:trHeight w:val="92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单位名称（科目）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2016年预算</w:t>
            </w:r>
          </w:p>
        </w:tc>
      </w:tr>
      <w:tr w:rsidR="00AD47BA" w:rsidTr="00616B1D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trHeight w:val="11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AD47BA" w:rsidTr="00616B1D">
        <w:trPr>
          <w:trHeight w:val="5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</w:tr>
      <w:tr w:rsidR="00AD47BA" w:rsidTr="00616B1D">
        <w:trPr>
          <w:trHeight w:val="5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</w:tr>
      <w:tr w:rsidR="00AD47BA" w:rsidTr="00616B1D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</w:tr>
    </w:tbl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AD47BA" w:rsidRDefault="00AD47BA" w:rsidP="00AD47BA">
      <w:pPr>
        <w:widowControl/>
        <w:jc w:val="left"/>
        <w:rPr>
          <w:rFonts w:ascii="仿宋_GB2312" w:eastAsia="仿宋_GB2312"/>
          <w:b/>
          <w:sz w:val="30"/>
          <w:szCs w:val="30"/>
        </w:rPr>
        <w:sectPr w:rsidR="00AD47BA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表8.2018年财政拨款安排的基本支出预算表</w:t>
      </w:r>
    </w:p>
    <w:p w:rsidR="00AD47BA" w:rsidRDefault="00AD47BA" w:rsidP="00AD47BA">
      <w:pPr>
        <w:jc w:val="center"/>
        <w:rPr>
          <w:rFonts w:ascii="宋体" w:hAnsi="宋体" w:cs="宋体" w:hint="eastAsia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 xml:space="preserve">            </w:t>
      </w:r>
    </w:p>
    <w:p w:rsidR="00AD47BA" w:rsidRDefault="00AD47BA" w:rsidP="00AD47BA">
      <w:pPr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宋体" w:hAnsi="宋体" w:cs="宋体" w:hint="eastAsia"/>
          <w:kern w:val="0"/>
          <w:sz w:val="36"/>
          <w:szCs w:val="36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36"/>
          <w:szCs w:val="36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063"/>
        <w:gridCol w:w="2082"/>
        <w:gridCol w:w="2082"/>
      </w:tblGrid>
      <w:tr w:rsidR="00AD47BA" w:rsidTr="00616B1D">
        <w:trPr>
          <w:trHeight w:val="76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科目代码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2018年预算</w:t>
            </w:r>
          </w:p>
        </w:tc>
      </w:tr>
      <w:tr w:rsidR="00AD47BA" w:rsidTr="00616B1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其中：一般公共预算财政拨款安排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64D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1052.49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1052.49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64D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1.在职人员工资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825.08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825.08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64D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2.社会保险缴费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227.41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227.41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B64DE2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养老保险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165.02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165.02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医疗保险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61.88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61.88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64D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319.4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319.4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B64DE2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日常公用支出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71.80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71.80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2A3C0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30205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2A3C0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30206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2A3C0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30209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2A3C0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物业管理费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2.5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维修费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30231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公务用车运行维护费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30215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140.2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140.2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公务接待费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1.2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2A3C0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A3C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工会经费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16.5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16.5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2A3C0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64D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99.01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99.01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2A3C0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离休费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0.2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2A3C0A" w:rsidRDefault="00AD47BA" w:rsidP="00616B1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退休费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2.9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Pr="00B64DE2" w:rsidRDefault="00AD47BA" w:rsidP="00616B1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公积金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99.01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99.01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其他资本性支出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20</w:t>
            </w:r>
          </w:p>
        </w:tc>
      </w:tr>
      <w:tr w:rsidR="00AD47BA" w:rsidTr="00616B1D">
        <w:trPr>
          <w:trHeight w:val="90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办公设备购置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20</w:t>
            </w:r>
          </w:p>
        </w:tc>
      </w:tr>
      <w:tr w:rsidR="00AD47BA" w:rsidTr="00616B1D">
        <w:trPr>
          <w:trHeight w:val="72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合计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1490.9</w:t>
            </w:r>
          </w:p>
        </w:tc>
      </w:tr>
    </w:tbl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AD47BA" w:rsidRDefault="00AD47BA" w:rsidP="00AD47BA">
      <w:pPr>
        <w:widowControl/>
        <w:jc w:val="left"/>
        <w:rPr>
          <w:rFonts w:ascii="仿宋_GB2312" w:eastAsia="仿宋_GB2312"/>
          <w:b/>
          <w:sz w:val="30"/>
          <w:szCs w:val="30"/>
        </w:rPr>
        <w:sectPr w:rsidR="00AD47BA">
          <w:pgSz w:w="11906" w:h="16838"/>
          <w:pgMar w:top="1440" w:right="1797" w:bottom="1440" w:left="1797" w:header="851" w:footer="992" w:gutter="0"/>
          <w:cols w:space="720"/>
        </w:sectPr>
      </w:pPr>
    </w:p>
    <w:p w:rsidR="00AD47BA" w:rsidRDefault="00AD47BA" w:rsidP="00AD47BA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AD47BA" w:rsidRDefault="00AD47BA" w:rsidP="00AD47BA">
      <w:pPr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表9.</w:t>
      </w:r>
      <w:r>
        <w:rPr>
          <w:b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2018年政府采购预算表</w:t>
      </w:r>
    </w:p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jc w:val="right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黑体" w:eastAsia="黑体" w:hint="eastAsia"/>
          <w:b/>
          <w:sz w:val="30"/>
          <w:szCs w:val="30"/>
        </w:rPr>
        <w:t xml:space="preserve">                                                                                </w:t>
      </w:r>
      <w:r>
        <w:rPr>
          <w:rFonts w:ascii="仿宋_GB2312" w:eastAsia="仿宋_GB2312" w:hAnsi="宋体" w:cs="宋体" w:hint="eastAsia"/>
          <w:kern w:val="0"/>
          <w:szCs w:val="21"/>
        </w:rPr>
        <w:t>单位：万元</w:t>
      </w:r>
    </w:p>
    <w:tbl>
      <w:tblPr>
        <w:tblW w:w="140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540"/>
        <w:gridCol w:w="540"/>
        <w:gridCol w:w="1080"/>
        <w:gridCol w:w="900"/>
        <w:gridCol w:w="1128"/>
        <w:gridCol w:w="1242"/>
        <w:gridCol w:w="1245"/>
        <w:gridCol w:w="1245"/>
        <w:gridCol w:w="1245"/>
        <w:gridCol w:w="940"/>
        <w:gridCol w:w="1125"/>
        <w:gridCol w:w="1100"/>
        <w:gridCol w:w="1115"/>
      </w:tblGrid>
      <w:tr w:rsidR="00AD47BA" w:rsidTr="00616B1D">
        <w:trPr>
          <w:trHeight w:val="330"/>
        </w:trPr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单位编码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单位名称</w:t>
            </w:r>
          </w:p>
        </w:tc>
        <w:tc>
          <w:tcPr>
            <w:tcW w:w="9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     金     来     源</w:t>
            </w:r>
          </w:p>
        </w:tc>
      </w:tr>
      <w:tr w:rsidR="00AD47BA" w:rsidTr="00616B1D">
        <w:trPr>
          <w:trHeight w:val="345"/>
        </w:trPr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其他自有资金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上年结转</w:t>
            </w:r>
          </w:p>
        </w:tc>
      </w:tr>
      <w:tr w:rsidR="00AD47BA" w:rsidTr="00616B1D">
        <w:trPr>
          <w:trHeight w:val="8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trHeight w:val="689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409001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市人大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D47BA" w:rsidTr="00616B1D">
        <w:trPr>
          <w:trHeight w:val="7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</w:tr>
      <w:tr w:rsidR="00AD47BA" w:rsidTr="00616B1D">
        <w:trPr>
          <w:trHeight w:val="9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</w:tr>
      <w:tr w:rsidR="00AD47BA" w:rsidTr="00616B1D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</w:tr>
      <w:tr w:rsidR="00AD47BA" w:rsidTr="00616B1D">
        <w:trPr>
          <w:trHeight w:val="9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 w:hint="eastAsia"/>
                <w:b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A" w:rsidRDefault="00AD47BA" w:rsidP="00616B1D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</w:tr>
    </w:tbl>
    <w:p w:rsidR="00AD47BA" w:rsidRDefault="00AD47BA" w:rsidP="00AD47BA">
      <w:pPr>
        <w:widowControl/>
        <w:jc w:val="left"/>
        <w:rPr>
          <w:rFonts w:ascii="黑体" w:eastAsia="黑体"/>
          <w:b/>
          <w:sz w:val="30"/>
          <w:szCs w:val="30"/>
        </w:rPr>
        <w:sectPr w:rsidR="00AD47BA">
          <w:pgSz w:w="16838" w:h="11906" w:orient="landscape"/>
          <w:pgMar w:top="1797" w:right="1440" w:bottom="1797" w:left="1440" w:header="851" w:footer="992" w:gutter="0"/>
          <w:cols w:space="720"/>
        </w:sectPr>
      </w:pPr>
    </w:p>
    <w:p w:rsidR="00AD47BA" w:rsidRDefault="00AD47BA" w:rsidP="00AD47BA">
      <w:pPr>
        <w:rPr>
          <w:rFonts w:ascii="黑体" w:eastAsia="黑体" w:hint="eastAsia"/>
          <w:b/>
          <w:sz w:val="30"/>
          <w:szCs w:val="30"/>
        </w:rPr>
      </w:pPr>
    </w:p>
    <w:p w:rsidR="00AD47BA" w:rsidRDefault="00AD47BA" w:rsidP="00AD47BA">
      <w:pPr>
        <w:jc w:val="center"/>
        <w:rPr>
          <w:rFonts w:hint="eastAsia"/>
          <w:b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表10. 2018年一般公共预算财政拨款“三公”经费支出预算表</w:t>
      </w:r>
    </w:p>
    <w:p w:rsidR="00AD47BA" w:rsidRDefault="00AD47BA" w:rsidP="00AD47BA">
      <w:pPr>
        <w:rPr>
          <w:rFonts w:ascii="黑体" w:eastAsia="黑体"/>
          <w:b/>
          <w:sz w:val="30"/>
          <w:szCs w:val="30"/>
        </w:rPr>
      </w:pPr>
    </w:p>
    <w:p w:rsidR="00AD47BA" w:rsidRDefault="00AD47BA" w:rsidP="00AD47BA">
      <w:pPr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黑体" w:eastAsia="黑体" w:hint="eastAsia"/>
          <w:b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 </w:t>
      </w:r>
    </w:p>
    <w:p w:rsidR="00AD47BA" w:rsidRDefault="00AD47BA" w:rsidP="00AD47BA">
      <w:pPr>
        <w:jc w:val="right"/>
        <w:rPr>
          <w:rFonts w:ascii="黑体" w:eastAsia="黑体" w:hint="eastAsia"/>
          <w:b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                                                            单位：万元</w:t>
      </w:r>
    </w:p>
    <w:tbl>
      <w:tblPr>
        <w:tblW w:w="8403" w:type="dxa"/>
        <w:tblLook w:val="0000" w:firstRow="0" w:lastRow="0" w:firstColumn="0" w:lastColumn="0" w:noHBand="0" w:noVBand="0"/>
      </w:tblPr>
      <w:tblGrid>
        <w:gridCol w:w="1188"/>
        <w:gridCol w:w="1164"/>
        <w:gridCol w:w="1536"/>
        <w:gridCol w:w="1440"/>
        <w:gridCol w:w="1620"/>
        <w:gridCol w:w="1455"/>
      </w:tblGrid>
      <w:tr w:rsidR="00AD47BA" w:rsidTr="00616B1D">
        <w:trPr>
          <w:trHeight w:val="31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因公出国（境）经费</w:t>
            </w:r>
          </w:p>
        </w:tc>
        <w:tc>
          <w:tcPr>
            <w:tcW w:w="45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公务用车购置和运行维护费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</w:tr>
      <w:tr w:rsidR="00AD47BA" w:rsidTr="00616B1D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D47BA" w:rsidTr="00616B1D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公务用车购置经费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</w:t>
            </w:r>
          </w:p>
          <w:p w:rsidR="00AD47BA" w:rsidRDefault="00AD47BA" w:rsidP="00616B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维护费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BA" w:rsidRDefault="00AD47BA" w:rsidP="00616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D47BA" w:rsidTr="00616B1D">
        <w:trPr>
          <w:trHeight w:val="105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BA" w:rsidRDefault="00AD47BA" w:rsidP="00616B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</w:tbl>
    <w:p w:rsidR="003F003C" w:rsidRDefault="003F003C"/>
    <w:sectPr w:rsidR="003F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A"/>
    <w:rsid w:val="003F003C"/>
    <w:rsid w:val="00A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10F8F-15C7-4A36-9BDA-2A498893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7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613</Words>
  <Characters>3496</Characters>
  <Application>Microsoft Office Word</Application>
  <DocSecurity>0</DocSecurity>
  <Lines>29</Lines>
  <Paragraphs>8</Paragraphs>
  <ScaleCrop>false</ScaleCrop>
  <Company>china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2018-01-19T07:52:00Z</dcterms:created>
  <dcterms:modified xsi:type="dcterms:W3CDTF">2018-01-19T07:55:00Z</dcterms:modified>
</cp:coreProperties>
</file>